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A41A0" w14:textId="77777777" w:rsidR="00F96F14" w:rsidRDefault="00F96F14" w:rsidP="00D40D8F">
      <w:pPr>
        <w:rPr>
          <w:b/>
          <w:lang w:eastAsia="zh-CN"/>
        </w:rPr>
      </w:pPr>
    </w:p>
    <w:p w14:paraId="61E45756" w14:textId="252F5FED" w:rsidR="00F96F14" w:rsidRPr="001B68E7" w:rsidRDefault="00F96F14" w:rsidP="00F96F14">
      <w:pPr>
        <w:rPr>
          <w:b/>
          <w:bCs/>
          <w:lang w:eastAsia="zh-CN"/>
        </w:rPr>
      </w:pPr>
      <w:r w:rsidRPr="001B68E7">
        <w:rPr>
          <w:b/>
          <w:bCs/>
          <w:lang w:eastAsia="zh-CN"/>
        </w:rPr>
        <w:t>Supplementary Fig</w:t>
      </w:r>
      <w:r w:rsidR="00147FCE">
        <w:rPr>
          <w:b/>
          <w:bCs/>
          <w:lang w:eastAsia="zh-CN"/>
        </w:rPr>
        <w:t xml:space="preserve">. </w:t>
      </w:r>
      <w:r>
        <w:rPr>
          <w:rFonts w:hint="eastAsia"/>
          <w:b/>
          <w:bCs/>
          <w:lang w:eastAsia="zh-CN"/>
        </w:rPr>
        <w:t>1</w:t>
      </w:r>
      <w:r w:rsidRPr="001B68E7">
        <w:rPr>
          <w:b/>
          <w:bCs/>
          <w:lang w:eastAsia="zh-CN"/>
        </w:rPr>
        <w:t>. Robustness of complex-high versus complex-low comparisons across alternative cutoff strategies.</w:t>
      </w:r>
    </w:p>
    <w:p w14:paraId="0FF771A3" w14:textId="77777777" w:rsidR="00F96F14" w:rsidRDefault="00F96F14" w:rsidP="00F96F14">
      <w:pPr>
        <w:rPr>
          <w:lang w:eastAsia="zh-CN"/>
        </w:rPr>
      </w:pPr>
    </w:p>
    <w:p w14:paraId="22CF2334" w14:textId="77777777" w:rsidR="00F96F14" w:rsidRDefault="00F96F14" w:rsidP="00F96F14">
      <w:pPr>
        <w:rPr>
          <w:lang w:eastAsia="zh-CN"/>
        </w:rPr>
      </w:pPr>
      <w:r>
        <w:rPr>
          <w:lang w:eastAsia="zh-CN"/>
        </w:rPr>
        <w:t>(A) Cell-state composition of complex-high and complex-low groups defined using median split, upper-versus-lower tertile, and upper-versus-lower quartile thresholds of the DHX9/ILF3 complex module score.</w:t>
      </w:r>
    </w:p>
    <w:p w14:paraId="7F864313" w14:textId="77777777" w:rsidR="00F96F14" w:rsidRDefault="00F96F14" w:rsidP="00F96F14">
      <w:pPr>
        <w:rPr>
          <w:lang w:eastAsia="zh-CN"/>
        </w:rPr>
      </w:pPr>
      <w:r>
        <w:rPr>
          <w:lang w:eastAsia="zh-CN"/>
        </w:rPr>
        <w:t>(B) Pseudotime distributions of complex-high and complex-low cells under different threshold definitions.</w:t>
      </w:r>
    </w:p>
    <w:p w14:paraId="5CC83127" w14:textId="77777777" w:rsidR="00F96F14" w:rsidRDefault="00F96F14" w:rsidP="00F96F14">
      <w:pPr>
        <w:rPr>
          <w:lang w:eastAsia="zh-CN"/>
        </w:rPr>
      </w:pPr>
      <w:r>
        <w:rPr>
          <w:lang w:eastAsia="zh-CN"/>
        </w:rPr>
        <w:t>(C) Heatmap summarizing mean differences in malignant-associated transcriptional programs between complex-high and complex-low groups across the three cutoff strategies.</w:t>
      </w:r>
    </w:p>
    <w:p w14:paraId="07128BC0" w14:textId="77777777" w:rsidR="00F96F14" w:rsidRDefault="00F96F14" w:rsidP="00F96F14">
      <w:pPr>
        <w:rPr>
          <w:lang w:eastAsia="zh-CN"/>
        </w:rPr>
      </w:pPr>
      <w:r>
        <w:rPr>
          <w:lang w:eastAsia="zh-CN"/>
        </w:rPr>
        <w:t>(D) Continuous analysis showing that ComplexScore remained directionally associated with malignant-related transcriptional programs, supporting that the main findings were not dependent on a single arbitrary dichotomization strategy.</w:t>
      </w:r>
    </w:p>
    <w:p w14:paraId="5F2A7192" w14:textId="2D34D1AC" w:rsidR="00D40D8F" w:rsidRDefault="00D40D8F" w:rsidP="00D40D8F">
      <w:r>
        <w:rPr>
          <w:b/>
        </w:rPr>
        <w:t>Supplementary Fig</w:t>
      </w:r>
      <w:r w:rsidR="00147FCE">
        <w:rPr>
          <w:b/>
        </w:rPr>
        <w:t xml:space="preserve">. </w:t>
      </w:r>
      <w:r>
        <w:rPr>
          <w:b/>
        </w:rPr>
        <w:t>2 legend</w:t>
      </w:r>
    </w:p>
    <w:p w14:paraId="7A53C600" w14:textId="1CD596C9" w:rsidR="00D40D8F" w:rsidRDefault="00D40D8F" w:rsidP="00D40D8F">
      <w:r>
        <w:t xml:space="preserve">(A) UMAP of epithelial cells before batch correction, colored by sample identity. (B) UMAP of epithelial cells after Harmony correction, colored by sample identity. (C) UMAP of epithelial cells before batch correction, colored by epithelial state annotation. (D) UMAP of epithelial cells after Harmony correction, colored by epithelial state annotation. (E) </w:t>
      </w:r>
      <w:r w:rsidR="0096150F" w:rsidRPr="0096150F">
        <w:t>Boxplots showing the per-cell distributions of scaled iLISI and scaled bio-conservation metrics before and after correction</w:t>
      </w:r>
      <w:r>
        <w:t>. (F) Summary bar plots of batch ASW and cell-type ASW before and after correction. The validation cohort showed a concordant, although more modest, improvement in batch mixing after correction.</w:t>
      </w:r>
    </w:p>
    <w:p w14:paraId="7ADFF7A4" w14:textId="665C2FFC" w:rsidR="00D40D8F" w:rsidRDefault="00147FCE" w:rsidP="00D40D8F">
      <w:r>
        <w:rPr>
          <w:b/>
        </w:rPr>
        <w:t xml:space="preserve">Supplementary Table </w:t>
      </w:r>
      <w:r w:rsidR="00D40D8F">
        <w:rPr>
          <w:b/>
        </w:rPr>
        <w:t>1 legend</w:t>
      </w:r>
    </w:p>
    <w:p w14:paraId="3BCF3394" w14:textId="77777777" w:rsidR="0096150F" w:rsidRDefault="0096150F" w:rsidP="001B68E7">
      <w:pPr>
        <w:rPr>
          <w:lang w:eastAsia="zh-CN"/>
        </w:rPr>
      </w:pPr>
      <w:r w:rsidRPr="0096150F">
        <w:t>Quantitative summary of batch-effect assessment before and after Harmony correction. The table summarizes dataset-level raw median iLISI and related summary metrics for the discovery cohort (GSE131907) and the independent validation cohort (GSE123902). In contrast, the boxplots shown in Supplementary Figs. S1E and S2E display scaled per-cell metric distributions rather than raw median values.</w:t>
      </w:r>
    </w:p>
    <w:p w14:paraId="7BD11548" w14:textId="54572D05" w:rsidR="00F96F14" w:rsidRDefault="00F96F14" w:rsidP="00F96F14">
      <w:r>
        <w:rPr>
          <w:b/>
        </w:rPr>
        <w:t>Supplementary Fig</w:t>
      </w:r>
      <w:r w:rsidR="00147FCE">
        <w:rPr>
          <w:b/>
        </w:rPr>
        <w:t xml:space="preserve">. </w:t>
      </w:r>
      <w:bookmarkStart w:id="0" w:name="_GoBack"/>
      <w:bookmarkEnd w:id="0"/>
      <w:r>
        <w:rPr>
          <w:rFonts w:hint="eastAsia"/>
          <w:b/>
          <w:lang w:eastAsia="zh-CN"/>
        </w:rPr>
        <w:t>3</w:t>
      </w:r>
      <w:r>
        <w:rPr>
          <w:b/>
        </w:rPr>
        <w:t xml:space="preserve"> legend</w:t>
      </w:r>
    </w:p>
    <w:p w14:paraId="1F2A67C4" w14:textId="77777777" w:rsidR="00F96F14" w:rsidRDefault="00F96F14" w:rsidP="00F96F14">
      <w:r>
        <w:t xml:space="preserve">(A) UMAP of epithelial cells before batch correction, colored by sample identity. (B) UMAP of epithelial cells after Harmony correction, colored by sample identity. (C) UMAP of epithelial cells before batch correction, colored by epithelial state annotation. (D) UMAP of epithelial cells after Harmony correction, colored by epithelial state annotation. (E) </w:t>
      </w:r>
      <w:r w:rsidRPr="0096150F">
        <w:t>Boxplots showing the per-cell distributions of scaled iLISI and scaled bio-conservation metrics before and after correction</w:t>
      </w:r>
      <w:r>
        <w:t>. (F) Summary bar plots of batch ASW and cell-type ASW before and after correction. Quantitative analysis showed improved cross-sample mixing after Harmony correction while largely preserving epithelial-state structure.</w:t>
      </w:r>
    </w:p>
    <w:p w14:paraId="2C078E63" w14:textId="77777777" w:rsidR="00945ED1" w:rsidRDefault="00945ED1"/>
    <w:sectPr w:rsidR="00945E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13C43" w14:textId="77777777" w:rsidR="007853C1" w:rsidRDefault="007853C1" w:rsidP="00147FCE">
      <w:pPr>
        <w:spacing w:after="0" w:line="240" w:lineRule="auto"/>
      </w:pPr>
      <w:r>
        <w:separator/>
      </w:r>
    </w:p>
  </w:endnote>
  <w:endnote w:type="continuationSeparator" w:id="0">
    <w:p w14:paraId="227E78CE" w14:textId="77777777" w:rsidR="007853C1" w:rsidRDefault="007853C1" w:rsidP="00147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8C8AA" w14:textId="77777777" w:rsidR="007853C1" w:rsidRDefault="007853C1" w:rsidP="00147FCE">
      <w:pPr>
        <w:spacing w:after="0" w:line="240" w:lineRule="auto"/>
      </w:pPr>
      <w:r>
        <w:separator/>
      </w:r>
    </w:p>
  </w:footnote>
  <w:footnote w:type="continuationSeparator" w:id="0">
    <w:p w14:paraId="799DE4F0" w14:textId="77777777" w:rsidR="007853C1" w:rsidRDefault="007853C1" w:rsidP="00147F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ED1"/>
    <w:rsid w:val="00036553"/>
    <w:rsid w:val="00147FCE"/>
    <w:rsid w:val="001B68E7"/>
    <w:rsid w:val="00227543"/>
    <w:rsid w:val="004F2F7C"/>
    <w:rsid w:val="005A41C2"/>
    <w:rsid w:val="007853C1"/>
    <w:rsid w:val="00945ED1"/>
    <w:rsid w:val="0096150F"/>
    <w:rsid w:val="00D40D8F"/>
    <w:rsid w:val="00F96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10D9C"/>
  <w15:chartTrackingRefBased/>
  <w15:docId w15:val="{BFCE9C68-DE63-2140-919A-A40ACF99F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47FCE"/>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147FCE"/>
    <w:rPr>
      <w:sz w:val="18"/>
      <w:szCs w:val="18"/>
    </w:rPr>
  </w:style>
  <w:style w:type="paragraph" w:styleId="a5">
    <w:name w:val="footer"/>
    <w:basedOn w:val="a"/>
    <w:link w:val="a6"/>
    <w:uiPriority w:val="99"/>
    <w:unhideWhenUsed/>
    <w:rsid w:val="00147FCE"/>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147F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cheryl</cp:lastModifiedBy>
  <cp:revision>6</cp:revision>
  <dcterms:created xsi:type="dcterms:W3CDTF">2012-08-07T16:44:00Z</dcterms:created>
  <dcterms:modified xsi:type="dcterms:W3CDTF">2026-06-03T07:54:00Z</dcterms:modified>
</cp:coreProperties>
</file>